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adalah pemilik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Pihak Kedua bermaksud untuk menyewa rumah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menyewa rumah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Menyerahkan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Memastikan tidak ada gangguan dari pihak ketiga selama masa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sewa tepat waktu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Merawat rumah dengan baik dan tidak merusak fasilitas yang ada.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Pertama:</w:t>
      </w:r>
      <w:r>
        <w:rPr>
          <w:rFonts w:ascii="Rubik Regular" w:hAnsi="Rubik Regular"/>
          <w:sz w:val="22"/>
        </w:rPr>
        <w:t>Pihak Pertama:</w:t>
      </w:r>
      <w:r>
        <w:rPr>
          <w:rFonts w:ascii="Rubik Regular" w:hAnsi="Rubik Regular"/>
          <w:sz w:val="22"/>
        </w:rPr>
        <w:t>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Pihak Kedua:</w:t>
      </w:r>
      <w:r>
        <w:rPr>
          <w:rFonts w:ascii="Rubik Regular" w:hAnsi="Rubik Regular"/>
          <w:sz w:val="22"/>
        </w:rPr>
        <w:t>Pihak Kedua: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