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PERNYATAAN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 dan tidak akan mengungkapkan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secara musyawarah terlebih dahulu. Jika tidak mencapai kesepakatan, maka akan diselesaikan melalui jalur hukum sesuai dengan ketentuan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Ditetapkan di:</w:t>
      </w:r>
      <w:r>
        <w:rPr>
          <w:rFonts w:ascii="Rubik Regular" w:hAnsi="Rubik Regular"/>
          <w:sz w:val="22"/>
        </w:rPr>
        <w:t>Ditetapkan di: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