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SEWA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sewa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Memastikan tidak ada gangguan dari pihak ketiga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rumah sesuai dengan tujuan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kepada pihak lainnya.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